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781D" w14:textId="48DB4A1D" w:rsidR="00656FDF" w:rsidRPr="00FC35F1" w:rsidRDefault="00AD0DFC" w:rsidP="00627CCB">
      <w:pPr>
        <w:pStyle w:val="Heading1"/>
        <w:rPr>
          <w:lang w:eastAsia="pt-BR"/>
        </w:rPr>
      </w:pPr>
      <w:r w:rsidRPr="00FC35F1">
        <w:rPr>
          <w:lang w:eastAsia="pt-BR"/>
        </w:rPr>
        <w:t>Testes Dickey-Fuller aumentados</w:t>
      </w:r>
    </w:p>
    <w:p w14:paraId="05D682B7" w14:textId="182D49E6" w:rsidR="008640A5" w:rsidRPr="00FC35F1" w:rsidRDefault="008640A5" w:rsidP="008640A5">
      <w:pPr>
        <w:pStyle w:val="Tabela"/>
      </w:pPr>
      <w:r w:rsidRPr="00FC35F1">
        <w:t>Tabela</w:t>
      </w:r>
      <w:r w:rsidR="00627CCB">
        <w:t xml:space="preserve"> 1</w:t>
      </w:r>
      <w:r w:rsidRPr="00FC35F1">
        <w:t xml:space="preserve"> – Testes Dickey-Fuller aumentados para presença de raiz unitária para as séries referentes à Bélgica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235"/>
        <w:gridCol w:w="2270"/>
        <w:gridCol w:w="2407"/>
        <w:gridCol w:w="2353"/>
      </w:tblGrid>
      <w:tr w:rsidR="008640A5" w:rsidRPr="00FC35F1" w14:paraId="7B64DFB0" w14:textId="77777777" w:rsidTr="004C23F2"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151F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Variável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14B83" w14:textId="77777777" w:rsidR="008640A5" w:rsidRPr="00FC35F1" w:rsidRDefault="008640A5" w:rsidP="004C23F2">
            <w:pPr>
              <w:jc w:val="center"/>
              <w:rPr>
                <w:i/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 xml:space="preserve">Estatística </w:t>
            </w:r>
            <w:r w:rsidRPr="00FC35F1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ACCF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i/>
                <w:sz w:val="20"/>
                <w:szCs w:val="20"/>
              </w:rPr>
              <w:t>p-</w:t>
            </w:r>
            <w:r w:rsidRPr="00FC35F1">
              <w:rPr>
                <w:sz w:val="20"/>
                <w:szCs w:val="20"/>
              </w:rPr>
              <w:t>valor</w:t>
            </w:r>
          </w:p>
        </w:tc>
      </w:tr>
      <w:tr w:rsidR="008640A5" w:rsidRPr="00FC35F1" w14:paraId="095431D6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E64E3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consumo</w:t>
            </w:r>
          </w:p>
        </w:tc>
      </w:tr>
      <w:tr w:rsidR="008640A5" w:rsidRPr="00FC35F1" w14:paraId="7E3CF58E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890A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A1E2BC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84033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-3,625***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7C224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0,005</w:t>
            </w:r>
          </w:p>
        </w:tc>
      </w:tr>
      <w:tr w:rsidR="008640A5" w:rsidRPr="00FC35F1" w14:paraId="1A2D411C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54605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BE3F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6474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-3,877***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B3F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0,002</w:t>
            </w:r>
          </w:p>
        </w:tc>
      </w:tr>
      <w:tr w:rsidR="008640A5" w:rsidRPr="00FC35F1" w14:paraId="43578DA0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786FE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2A47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CACD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-3,491***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0A49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0,008</w:t>
            </w:r>
          </w:p>
        </w:tc>
      </w:tr>
      <w:tr w:rsidR="008640A5" w:rsidRPr="00FC35F1" w14:paraId="676A036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E0F94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Salários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7336B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C4C8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-3,353**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E20F1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0,012</w:t>
            </w:r>
          </w:p>
        </w:tc>
      </w:tr>
      <w:tr w:rsidR="008640A5" w:rsidRPr="00FC35F1" w14:paraId="44288328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69107D26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DFDA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201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-3,247**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164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0,017</w:t>
            </w:r>
          </w:p>
        </w:tc>
      </w:tr>
      <w:tr w:rsidR="008640A5" w:rsidRPr="00FC35F1" w14:paraId="43B58FEF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3C60AF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5FA8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90EE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-3,725***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D38B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0,003</w:t>
            </w:r>
          </w:p>
        </w:tc>
      </w:tr>
      <w:tr w:rsidR="008640A5" w:rsidRPr="00FC35F1" w14:paraId="0DCD90E3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F9A4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Lucros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AEFA41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C33C4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-2,528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EC06C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0,204</w:t>
            </w:r>
          </w:p>
        </w:tc>
      </w:tr>
      <w:tr w:rsidR="008640A5" w:rsidRPr="00FC35F1" w14:paraId="3F992F3C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C009A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C6E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E2CC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-2,735*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9F78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0,068</w:t>
            </w:r>
          </w:p>
        </w:tc>
      </w:tr>
      <w:tr w:rsidR="008640A5" w:rsidRPr="00FC35F1" w14:paraId="6BC4B51F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5F81F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CA99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3925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-2,660*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14D0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0,081</w:t>
            </w:r>
          </w:p>
        </w:tc>
      </w:tr>
      <w:tr w:rsidR="008640A5" w:rsidRPr="00FC35F1" w14:paraId="60DD3DAA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54D3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000A2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3535F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-3,625***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4535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0,005</w:t>
            </w:r>
          </w:p>
        </w:tc>
      </w:tr>
      <w:tr w:rsidR="008640A5" w:rsidRPr="00FC35F1" w14:paraId="3A5B1164" w14:textId="77777777" w:rsidTr="004C23F2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22938A89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733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45A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-3,883***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784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0,002</w:t>
            </w:r>
          </w:p>
        </w:tc>
      </w:tr>
      <w:tr w:rsidR="008640A5" w:rsidRPr="00FC35F1" w14:paraId="258FF0FE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B70710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6D39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F4AF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-3,497***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B2DF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0,008</w:t>
            </w:r>
          </w:p>
        </w:tc>
      </w:tr>
      <w:tr w:rsidR="008640A5" w:rsidRPr="00FC35F1" w14:paraId="5BD34F7A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D0EF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investimento</w:t>
            </w:r>
          </w:p>
        </w:tc>
      </w:tr>
      <w:tr w:rsidR="008640A5" w:rsidRPr="00FC35F1" w14:paraId="4BDF4E10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9CD4E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1B7F5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AF16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-1,762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B7CC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0,399</w:t>
            </w:r>
          </w:p>
        </w:tc>
      </w:tr>
      <w:tr w:rsidR="008640A5" w:rsidRPr="00FC35F1" w14:paraId="5A325C45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50C29F3E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E8C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649F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-2,957**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B9D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0,039</w:t>
            </w:r>
          </w:p>
        </w:tc>
      </w:tr>
      <w:tr w:rsidR="008640A5" w:rsidRPr="00FC35F1" w14:paraId="6E4FCC12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0A98A2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E695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B734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-3,205**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1B09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0,019</w:t>
            </w:r>
          </w:p>
        </w:tc>
      </w:tr>
      <w:tr w:rsidR="008640A5" w:rsidRPr="00FC35F1" w14:paraId="10CA7B1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54B21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Produto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2122B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003B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-1,825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5A71C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0,367</w:t>
            </w:r>
          </w:p>
        </w:tc>
      </w:tr>
      <w:tr w:rsidR="008640A5" w:rsidRPr="00FC35F1" w14:paraId="7553DFA3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42DFE403" w14:textId="77777777" w:rsidR="008640A5" w:rsidRPr="00FC35F1" w:rsidRDefault="008640A5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20B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7C8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-2,465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E01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0,124</w:t>
            </w:r>
          </w:p>
        </w:tc>
      </w:tr>
      <w:tr w:rsidR="008640A5" w:rsidRPr="00FC35F1" w14:paraId="54B05873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B76CE6" w14:textId="77777777" w:rsidR="008640A5" w:rsidRPr="00FC35F1" w:rsidRDefault="008640A5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9709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25F0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-2,589*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44C5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0,095</w:t>
            </w:r>
          </w:p>
        </w:tc>
      </w:tr>
      <w:tr w:rsidR="008640A5" w:rsidRPr="00FC35F1" w14:paraId="4417B6E3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E273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Parcela dos 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44BD7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8E5A8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-2,952**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34150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0,039</w:t>
            </w:r>
          </w:p>
        </w:tc>
      </w:tr>
      <w:tr w:rsidR="008640A5" w:rsidRPr="00FC35F1" w14:paraId="626DF56A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FFA48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718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111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-2,884**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7A3A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0,047</w:t>
            </w:r>
          </w:p>
        </w:tc>
      </w:tr>
      <w:tr w:rsidR="008640A5" w:rsidRPr="00FC35F1" w14:paraId="252925CC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CC2BE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7C7B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4B4E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-2,562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C050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0,101</w:t>
            </w:r>
          </w:p>
        </w:tc>
      </w:tr>
      <w:tr w:rsidR="008640A5" w:rsidRPr="00FC35F1" w14:paraId="6E1CE384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BD78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Taxa real de juros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A93144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D3A68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-4,098***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A8D5B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23E75D3F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124B4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A010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679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-2,898**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4F3B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0,045</w:t>
            </w:r>
          </w:p>
        </w:tc>
      </w:tr>
      <w:tr w:rsidR="008640A5" w:rsidRPr="00FC35F1" w14:paraId="15D0434B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10D94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2E2D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570E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-2,774*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83D9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0,062</w:t>
            </w:r>
          </w:p>
        </w:tc>
      </w:tr>
      <w:tr w:rsidR="008640A5" w:rsidRPr="00FC35F1" w14:paraId="50E85167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B261D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6188BE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7CE0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-1,745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860D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0,408</w:t>
            </w:r>
          </w:p>
        </w:tc>
      </w:tr>
      <w:tr w:rsidR="008640A5" w:rsidRPr="00FC35F1" w14:paraId="39700ABE" w14:textId="77777777" w:rsidTr="004C23F2"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B87BDD2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269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727B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-3,020**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DF3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0,033</w:t>
            </w:r>
          </w:p>
        </w:tc>
      </w:tr>
      <w:tr w:rsidR="008640A5" w:rsidRPr="00FC35F1" w14:paraId="3CB6DBEB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58DDDD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41BA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5FAF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-3,235**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97DA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0,018</w:t>
            </w:r>
          </w:p>
        </w:tc>
      </w:tr>
    </w:tbl>
    <w:p w14:paraId="4E1F9532" w14:textId="77777777" w:rsidR="008640A5" w:rsidRPr="00FC35F1" w:rsidRDefault="008640A5" w:rsidP="008640A5">
      <w:pPr>
        <w:spacing w:line="240" w:lineRule="auto"/>
      </w:pPr>
      <w:r w:rsidRPr="00FC35F1">
        <w:rPr>
          <w:sz w:val="20"/>
        </w:rPr>
        <w:t>Notas: A hipótese nula consiste na presença de raiz unitária.</w:t>
      </w:r>
    </w:p>
    <w:p w14:paraId="2CAB7C4D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 - Estatísticas significativas a um nível de significância de 10%.</w:t>
      </w:r>
    </w:p>
    <w:p w14:paraId="49CC6758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** - Estatísticas significativas a um nível de significância de 5%.</w:t>
      </w:r>
    </w:p>
    <w:p w14:paraId="41A57ED9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*** - Estatísticas significativas a um nível de significância de 1%.</w:t>
      </w:r>
    </w:p>
    <w:p w14:paraId="0500298C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a</w:t>
      </w:r>
      <w:r w:rsidRPr="00FC35F1">
        <w:rPr>
          <w:sz w:val="20"/>
        </w:rPr>
        <w:t xml:space="preserve"> - Removeu-se a tendência temporal quadrática da série.</w:t>
      </w:r>
    </w:p>
    <w:p w14:paraId="724683BF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b</w:t>
      </w:r>
      <w:r w:rsidRPr="00FC35F1">
        <w:rPr>
          <w:sz w:val="20"/>
        </w:rPr>
        <w:t xml:space="preserve"> - Removeu-se a tendência temporal linear da série.</w:t>
      </w:r>
    </w:p>
    <w:p w14:paraId="0FCD8132" w14:textId="7626D681" w:rsidR="008640A5" w:rsidRPr="00FC35F1" w:rsidRDefault="008640A5" w:rsidP="008640A5">
      <w:pPr>
        <w:pStyle w:val="Tabela"/>
      </w:pPr>
      <w:r w:rsidRPr="00FC35F1">
        <w:lastRenderedPageBreak/>
        <w:t>Tabela</w:t>
      </w:r>
      <w:r w:rsidR="00627CCB">
        <w:t xml:space="preserve"> 2</w:t>
      </w:r>
      <w:r w:rsidRPr="00FC35F1">
        <w:t xml:space="preserve"> – Testes Dickey-Fuller aumentados para presença de raiz unitária para as séries referentes </w:t>
      </w:r>
      <w:r w:rsidR="00A161DF" w:rsidRPr="00FC35F1">
        <w:t>ao</w:t>
      </w:r>
      <w:r w:rsidRPr="00FC35F1">
        <w:t xml:space="preserve"> Estados Unidos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235"/>
        <w:gridCol w:w="2270"/>
        <w:gridCol w:w="2407"/>
        <w:gridCol w:w="2353"/>
      </w:tblGrid>
      <w:tr w:rsidR="008640A5" w:rsidRPr="00FC35F1" w14:paraId="349307B8" w14:textId="77777777" w:rsidTr="004C23F2"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2275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Variável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D1092" w14:textId="77777777" w:rsidR="008640A5" w:rsidRPr="00FC35F1" w:rsidRDefault="008640A5" w:rsidP="004C23F2">
            <w:pPr>
              <w:jc w:val="center"/>
              <w:rPr>
                <w:i/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 xml:space="preserve">Estatística </w:t>
            </w:r>
            <w:r w:rsidRPr="00FC35F1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19F9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i/>
                <w:sz w:val="20"/>
                <w:szCs w:val="20"/>
              </w:rPr>
              <w:t>p-</w:t>
            </w:r>
            <w:r w:rsidRPr="00FC35F1">
              <w:rPr>
                <w:sz w:val="20"/>
                <w:szCs w:val="20"/>
              </w:rPr>
              <w:t>valor</w:t>
            </w:r>
          </w:p>
        </w:tc>
      </w:tr>
      <w:tr w:rsidR="008640A5" w:rsidRPr="00FC35F1" w14:paraId="01AE31F6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9BDE5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consumo</w:t>
            </w:r>
          </w:p>
        </w:tc>
      </w:tr>
      <w:tr w:rsidR="008640A5" w:rsidRPr="00FC35F1" w14:paraId="0242B09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BF693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34E57C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54A9D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-1,799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4E7F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0,381</w:t>
            </w:r>
          </w:p>
        </w:tc>
      </w:tr>
      <w:tr w:rsidR="008640A5" w:rsidRPr="00FC35F1" w14:paraId="044E2B3D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C5E00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F101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987B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-3,412**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624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8640A5" w:rsidRPr="00FC35F1" w14:paraId="5DC13C29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D6B8C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3B00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4D20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-2,722*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A86C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0,070</w:t>
            </w:r>
          </w:p>
        </w:tc>
      </w:tr>
      <w:tr w:rsidR="008640A5" w:rsidRPr="00FC35F1" w14:paraId="6CE0D3FA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2DCFC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Salários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7F74E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73D2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-1,947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20ED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0,310</w:t>
            </w:r>
          </w:p>
        </w:tc>
      </w:tr>
      <w:tr w:rsidR="008640A5" w:rsidRPr="00FC35F1" w14:paraId="3A7359B6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083117A8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48F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E249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-3,403**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FB44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8640A5" w:rsidRPr="00FC35F1" w14:paraId="7C1B2196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45801E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0F96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CE40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-2,822*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47A7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0,055</w:t>
            </w:r>
          </w:p>
        </w:tc>
      </w:tr>
      <w:tr w:rsidR="008640A5" w:rsidRPr="00FC35F1" w14:paraId="20BE981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4691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Lucros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A0328E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C048F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-3,047**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BB8A8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0,031</w:t>
            </w:r>
          </w:p>
        </w:tc>
      </w:tr>
      <w:tr w:rsidR="008640A5" w:rsidRPr="00FC35F1" w14:paraId="5B77B5E2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C860A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EFA8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D350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-4,228***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730C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1EB71BDE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98CB9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8651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AA23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-3,376**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E95D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8640A5" w:rsidRPr="00FC35F1" w14:paraId="3C19C1C0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4E76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ED08F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3CBF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-1,656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4067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0,454</w:t>
            </w:r>
          </w:p>
        </w:tc>
      </w:tr>
      <w:tr w:rsidR="008640A5" w:rsidRPr="00FC35F1" w14:paraId="40BC547F" w14:textId="77777777" w:rsidTr="004C23F2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432AC295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B42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1B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-3,318**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F2C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0,014</w:t>
            </w:r>
          </w:p>
        </w:tc>
      </w:tr>
      <w:tr w:rsidR="008640A5" w:rsidRPr="00FC35F1" w14:paraId="3962F884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25951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92F5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48A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-2,630*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1973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0,086</w:t>
            </w:r>
          </w:p>
        </w:tc>
      </w:tr>
      <w:tr w:rsidR="008640A5" w:rsidRPr="00FC35F1" w14:paraId="735FAD72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4AA2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investimento</w:t>
            </w:r>
          </w:p>
        </w:tc>
      </w:tr>
      <w:tr w:rsidR="008640A5" w:rsidRPr="00FC35F1" w14:paraId="6BA43CC9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8DD91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CEFA30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0D65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-2,267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A6A7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0,182</w:t>
            </w:r>
          </w:p>
        </w:tc>
      </w:tr>
      <w:tr w:rsidR="008640A5" w:rsidRPr="00FC35F1" w14:paraId="4645BB96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16BCE322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496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7854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-4,377***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EFB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7F697DBD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3A323F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6830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DDCB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-3,166**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845C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0,022</w:t>
            </w:r>
          </w:p>
        </w:tc>
      </w:tr>
      <w:tr w:rsidR="008640A5" w:rsidRPr="00FC35F1" w14:paraId="664FEAA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09C07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Produto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83711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D571B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-2,284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78AB4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0,177</w:t>
            </w:r>
          </w:p>
        </w:tc>
      </w:tr>
      <w:tr w:rsidR="008640A5" w:rsidRPr="00FC35F1" w14:paraId="0C090097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22E91DE6" w14:textId="77777777" w:rsidR="008640A5" w:rsidRPr="00FC35F1" w:rsidRDefault="008640A5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BA3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1FDD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-3,532***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241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0,007</w:t>
            </w:r>
          </w:p>
        </w:tc>
      </w:tr>
      <w:tr w:rsidR="008640A5" w:rsidRPr="00FC35F1" w14:paraId="1AF53EAE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6854DB" w14:textId="77777777" w:rsidR="008640A5" w:rsidRPr="00FC35F1" w:rsidRDefault="008640A5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C31A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969D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-3,069**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E7AA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0,028</w:t>
            </w:r>
          </w:p>
        </w:tc>
      </w:tr>
      <w:tr w:rsidR="008640A5" w:rsidRPr="00FC35F1" w14:paraId="37CD403F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2483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Parcela dos 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48555F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FFE19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-3,425**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7F6ED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8640A5" w:rsidRPr="00FC35F1" w14:paraId="74825A16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6858E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E7C2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407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-3,093**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BA33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0,027</w:t>
            </w:r>
          </w:p>
        </w:tc>
      </w:tr>
      <w:tr w:rsidR="008640A5" w:rsidRPr="00FC35F1" w14:paraId="5FDAB4E5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6F2A8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7E9D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238D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-3,488***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B6D3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0,008</w:t>
            </w:r>
          </w:p>
        </w:tc>
      </w:tr>
      <w:tr w:rsidR="008640A5" w:rsidRPr="00FC35F1" w14:paraId="139C0DB4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A991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Taxa real de juros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AF31B7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12FBB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-2,945**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4F8B3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0,040</w:t>
            </w:r>
          </w:p>
        </w:tc>
      </w:tr>
      <w:tr w:rsidR="008640A5" w:rsidRPr="00FC35F1" w14:paraId="54705E00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C674B3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7EDB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7548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-3,133**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2B11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0,024</w:t>
            </w:r>
          </w:p>
        </w:tc>
      </w:tr>
      <w:tr w:rsidR="008640A5" w:rsidRPr="00FC35F1" w14:paraId="0ECA7219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30B00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9F98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5C97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-2,867**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EC0E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0,049</w:t>
            </w:r>
          </w:p>
        </w:tc>
      </w:tr>
      <w:tr w:rsidR="008640A5" w:rsidRPr="00FC35F1" w14:paraId="6687987D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87F45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B462A1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386B7D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-2,240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092A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0,192</w:t>
            </w:r>
          </w:p>
        </w:tc>
      </w:tr>
      <w:tr w:rsidR="008640A5" w:rsidRPr="00FC35F1" w14:paraId="60A7CE00" w14:textId="77777777" w:rsidTr="004C23F2"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AF1E29A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1D1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D70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-4,298***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678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0730B4B7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6C5DF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1B6C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CF38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-3,092**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7BE6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0,027</w:t>
            </w:r>
          </w:p>
        </w:tc>
      </w:tr>
    </w:tbl>
    <w:p w14:paraId="7291799D" w14:textId="77777777" w:rsidR="008640A5" w:rsidRPr="00FC35F1" w:rsidRDefault="008640A5" w:rsidP="008640A5">
      <w:pPr>
        <w:spacing w:line="240" w:lineRule="auto"/>
      </w:pPr>
      <w:r w:rsidRPr="00FC35F1">
        <w:rPr>
          <w:sz w:val="20"/>
        </w:rPr>
        <w:t>Notas: A hipótese nula consiste na presença de raiz unitária.</w:t>
      </w:r>
    </w:p>
    <w:p w14:paraId="51F37186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 - Estatísticas significativas a um nível de significância de 10%.</w:t>
      </w:r>
    </w:p>
    <w:p w14:paraId="0356F454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** - Estatísticas significativas a um nível de significância de 5%.</w:t>
      </w:r>
    </w:p>
    <w:p w14:paraId="39E7FB67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*** - Estatísticas significativas a um nível de significância de 1%.</w:t>
      </w:r>
    </w:p>
    <w:p w14:paraId="13A483CD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a</w:t>
      </w:r>
      <w:r w:rsidRPr="00FC35F1">
        <w:rPr>
          <w:sz w:val="20"/>
        </w:rPr>
        <w:t xml:space="preserve"> - Removeu-se a tendência temporal quadrática da série.</w:t>
      </w:r>
    </w:p>
    <w:p w14:paraId="2960F9BC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b</w:t>
      </w:r>
      <w:r w:rsidRPr="00FC35F1">
        <w:rPr>
          <w:sz w:val="20"/>
        </w:rPr>
        <w:t xml:space="preserve"> - Removeu-se a tendência temporal linear da série.</w:t>
      </w:r>
    </w:p>
    <w:p w14:paraId="2DCB630D" w14:textId="51AAAC3E" w:rsidR="008640A5" w:rsidRPr="00FC35F1" w:rsidRDefault="008640A5" w:rsidP="00AD0DFC">
      <w:pPr>
        <w:rPr>
          <w:lang w:eastAsia="pt-BR"/>
        </w:rPr>
      </w:pPr>
    </w:p>
    <w:p w14:paraId="5438E9AE" w14:textId="64F61E1E" w:rsidR="008640A5" w:rsidRPr="00FC35F1" w:rsidRDefault="008640A5" w:rsidP="008640A5">
      <w:pPr>
        <w:pStyle w:val="Tabela"/>
      </w:pPr>
      <w:r w:rsidRPr="00FC35F1">
        <w:lastRenderedPageBreak/>
        <w:t xml:space="preserve">Tabela </w:t>
      </w:r>
      <w:r w:rsidR="00627CCB">
        <w:t>3</w:t>
      </w:r>
      <w:r w:rsidR="00A161DF" w:rsidRPr="00FC35F1">
        <w:t xml:space="preserve"> </w:t>
      </w:r>
      <w:r w:rsidRPr="00FC35F1">
        <w:t>– Testes Dickey-Fuller aumentados para presença de raiz unitária para as séries referentes à Finlândia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235"/>
        <w:gridCol w:w="2270"/>
        <w:gridCol w:w="2407"/>
        <w:gridCol w:w="2353"/>
      </w:tblGrid>
      <w:tr w:rsidR="008640A5" w:rsidRPr="00FC35F1" w14:paraId="543179D6" w14:textId="77777777" w:rsidTr="004C23F2"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99C6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Variável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17C8C" w14:textId="77777777" w:rsidR="008640A5" w:rsidRPr="00FC35F1" w:rsidRDefault="008640A5" w:rsidP="004C23F2">
            <w:pPr>
              <w:jc w:val="center"/>
              <w:rPr>
                <w:i/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 xml:space="preserve">Estatística </w:t>
            </w:r>
            <w:r w:rsidRPr="00FC35F1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3E6F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i/>
                <w:sz w:val="20"/>
                <w:szCs w:val="20"/>
              </w:rPr>
              <w:t>p-</w:t>
            </w:r>
            <w:r w:rsidRPr="00FC35F1">
              <w:rPr>
                <w:sz w:val="20"/>
                <w:szCs w:val="20"/>
              </w:rPr>
              <w:t>valor</w:t>
            </w:r>
          </w:p>
        </w:tc>
      </w:tr>
      <w:tr w:rsidR="008640A5" w:rsidRPr="00FC35F1" w14:paraId="0D4FC822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1BDF3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consumo</w:t>
            </w:r>
          </w:p>
        </w:tc>
      </w:tr>
      <w:tr w:rsidR="008640A5" w:rsidRPr="00FC35F1" w14:paraId="77F88403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D70D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corrente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9E62DD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4376B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-2,213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D96A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0,201</w:t>
            </w:r>
          </w:p>
        </w:tc>
      </w:tr>
      <w:tr w:rsidR="008640A5" w:rsidRPr="00FC35F1" w14:paraId="28C270A8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D6C04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91E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BD49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-4,663***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68A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460EACC0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8AF27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14480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B2A3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-2,872**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FC11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0,048</w:t>
            </w:r>
          </w:p>
        </w:tc>
      </w:tr>
      <w:tr w:rsidR="008640A5" w:rsidRPr="00FC35F1" w14:paraId="7839C298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061A1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Salários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3C41D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76B9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-2,432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8797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0,132</w:t>
            </w:r>
          </w:p>
        </w:tc>
      </w:tr>
      <w:tr w:rsidR="008640A5" w:rsidRPr="00FC35F1" w14:paraId="56A51C4D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5AEB29AB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A670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471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-4,926***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663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0,000</w:t>
            </w:r>
          </w:p>
        </w:tc>
      </w:tr>
      <w:tr w:rsidR="008640A5" w:rsidRPr="00FC35F1" w14:paraId="7806FF4C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BAB63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AC0A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D3EF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-2,707*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4D54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0,072</w:t>
            </w:r>
          </w:p>
        </w:tc>
      </w:tr>
      <w:tr w:rsidR="008640A5" w:rsidRPr="00FC35F1" w14:paraId="50159C98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D062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614C8C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C27CE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-2,279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3EDF9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0,179</w:t>
            </w:r>
          </w:p>
        </w:tc>
      </w:tr>
      <w:tr w:rsidR="008640A5" w:rsidRPr="00FC35F1" w14:paraId="0F28A36E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55825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376F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8587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-2,753*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6D2F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0,065</w:t>
            </w:r>
          </w:p>
        </w:tc>
      </w:tr>
      <w:tr w:rsidR="008640A5" w:rsidRPr="00FC35F1" w14:paraId="5621D384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1267F0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A25C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7F0A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-2,026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6FFD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0,275</w:t>
            </w:r>
          </w:p>
        </w:tc>
      </w:tr>
      <w:tr w:rsidR="008640A5" w:rsidRPr="00FC35F1" w14:paraId="2CE8D2DF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C44D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defasado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90C45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48A70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-2,198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DA4D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0,206</w:t>
            </w:r>
          </w:p>
        </w:tc>
      </w:tr>
      <w:tr w:rsidR="008640A5" w:rsidRPr="00FC35F1" w14:paraId="16BE129A" w14:textId="77777777" w:rsidTr="004C23F2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7AEE92E5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64BE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FE2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-4,583***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40C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3AA6A6CB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DC69C7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2A3E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5A52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-2,846*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D049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0,052</w:t>
            </w:r>
          </w:p>
        </w:tc>
      </w:tr>
      <w:tr w:rsidR="008640A5" w:rsidRPr="00FC35F1" w14:paraId="55F2ADFD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9969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investimento</w:t>
            </w:r>
          </w:p>
        </w:tc>
      </w:tr>
      <w:tr w:rsidR="008640A5" w:rsidRPr="00FC35F1" w14:paraId="22A85813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09B74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corrente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8D5A4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8CCE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-2,160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A332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0,221</w:t>
            </w:r>
          </w:p>
        </w:tc>
      </w:tr>
      <w:tr w:rsidR="008640A5" w:rsidRPr="00FC35F1" w14:paraId="7C129EB8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2F4797A3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10DA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67F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-4,760***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1D9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3DC99050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5FE9C2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7AD7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7718B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-3,373**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BD93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8640A5" w:rsidRPr="00FC35F1" w14:paraId="6CEA1B29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B22BC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Produto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6152E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7863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-2,008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D4B32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0,283</w:t>
            </w:r>
          </w:p>
        </w:tc>
      </w:tr>
      <w:tr w:rsidR="008640A5" w:rsidRPr="00FC35F1" w14:paraId="00867D30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6C20E9FB" w14:textId="77777777" w:rsidR="008640A5" w:rsidRPr="00FC35F1" w:rsidRDefault="008640A5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263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D25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-4,062***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1C9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76337EE5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D53FC" w14:textId="77777777" w:rsidR="008640A5" w:rsidRPr="00FC35F1" w:rsidRDefault="008640A5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BB13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A083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-2,975**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9BDC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0,037</w:t>
            </w:r>
          </w:p>
        </w:tc>
      </w:tr>
      <w:tr w:rsidR="008640A5" w:rsidRPr="00FC35F1" w14:paraId="23085BC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091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Parcela dos lucros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A14810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567B0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-2,353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BBC1D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0,155</w:t>
            </w:r>
          </w:p>
        </w:tc>
      </w:tr>
      <w:tr w:rsidR="008640A5" w:rsidRPr="00FC35F1" w14:paraId="47C56D18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B4BE41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36D8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C8F9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-2,891**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D16E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0,046</w:t>
            </w:r>
          </w:p>
        </w:tc>
      </w:tr>
      <w:tr w:rsidR="008640A5" w:rsidRPr="00FC35F1" w14:paraId="4BBCFF8C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F71A3E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6A54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F45D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-1,950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5854E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0,309</w:t>
            </w:r>
          </w:p>
        </w:tc>
      </w:tr>
      <w:tr w:rsidR="008640A5" w:rsidRPr="00FC35F1" w14:paraId="7068C899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4867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Taxa real de juros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C72639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122BE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-4,137***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2A220A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36411588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49628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1710C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A9E3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-3,617***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4A169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0,005</w:t>
            </w:r>
          </w:p>
        </w:tc>
      </w:tr>
      <w:tr w:rsidR="008640A5" w:rsidRPr="00FC35F1" w14:paraId="50AEE503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3DAD2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E9104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E217E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-3,861***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7ACD8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0,002</w:t>
            </w:r>
          </w:p>
        </w:tc>
      </w:tr>
      <w:tr w:rsidR="008640A5" w:rsidRPr="00FC35F1" w14:paraId="527B9EB2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947862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defasado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DB2EB4" w14:textId="77777777" w:rsidR="008640A5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B86D6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-2,127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90723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0,233</w:t>
            </w:r>
          </w:p>
        </w:tc>
      </w:tr>
      <w:tr w:rsidR="008640A5" w:rsidRPr="00FC35F1" w14:paraId="6BDC70BF" w14:textId="77777777" w:rsidTr="004C23F2">
        <w:trPr>
          <w:trHeight w:val="94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6B83FB43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290F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F7B1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-4,663***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39F0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8640A5" w:rsidRPr="00FC35F1" w14:paraId="434C0CC2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DE30F3" w14:textId="77777777" w:rsidR="008640A5" w:rsidRPr="00FC35F1" w:rsidRDefault="008640A5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87A93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317E5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-3,309**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88967" w14:textId="77777777" w:rsidR="008640A5" w:rsidRPr="00FC35F1" w:rsidRDefault="008640A5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0,014</w:t>
            </w:r>
          </w:p>
        </w:tc>
      </w:tr>
    </w:tbl>
    <w:p w14:paraId="57924E3C" w14:textId="77777777" w:rsidR="008640A5" w:rsidRPr="00FC35F1" w:rsidRDefault="008640A5" w:rsidP="008640A5">
      <w:pPr>
        <w:spacing w:line="240" w:lineRule="auto"/>
      </w:pPr>
      <w:r w:rsidRPr="00FC35F1">
        <w:rPr>
          <w:sz w:val="20"/>
        </w:rPr>
        <w:t>Notas: A hipótese nula consiste na presença de raiz unitária.</w:t>
      </w:r>
    </w:p>
    <w:p w14:paraId="22D032E2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 - Estatísticas significativas a um nível de significância de 10%.</w:t>
      </w:r>
    </w:p>
    <w:p w14:paraId="283CCED6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** - Estatísticas significativas a um nível de significância de 5%.</w:t>
      </w:r>
    </w:p>
    <w:p w14:paraId="3FD7AD33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</w:rPr>
        <w:t>*** - Estatísticas significativas a um nível de significância de 1%.</w:t>
      </w:r>
    </w:p>
    <w:p w14:paraId="501C65FA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a</w:t>
      </w:r>
      <w:r w:rsidRPr="00FC35F1">
        <w:rPr>
          <w:sz w:val="20"/>
        </w:rPr>
        <w:t xml:space="preserve"> - Removeu-se a tendência temporal quadrática da série.</w:t>
      </w:r>
    </w:p>
    <w:p w14:paraId="6C810999" w14:textId="77777777" w:rsidR="008640A5" w:rsidRPr="00FC35F1" w:rsidRDefault="008640A5" w:rsidP="008640A5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b</w:t>
      </w:r>
      <w:r w:rsidRPr="00FC35F1">
        <w:rPr>
          <w:sz w:val="20"/>
        </w:rPr>
        <w:t xml:space="preserve"> - Removeu-se a tendência temporal linear da série.</w:t>
      </w:r>
    </w:p>
    <w:p w14:paraId="1B9EB44C" w14:textId="65BE50E7" w:rsidR="008640A5" w:rsidRPr="00FC35F1" w:rsidRDefault="008640A5" w:rsidP="00AD0DFC">
      <w:pPr>
        <w:rPr>
          <w:lang w:eastAsia="pt-BR"/>
        </w:rPr>
      </w:pPr>
    </w:p>
    <w:p w14:paraId="62F0CAA8" w14:textId="6D440575" w:rsidR="005A7F1E" w:rsidRPr="00FC35F1" w:rsidRDefault="005A7F1E" w:rsidP="005A7F1E">
      <w:pPr>
        <w:pStyle w:val="Tabela"/>
      </w:pPr>
      <w:r w:rsidRPr="00FC35F1">
        <w:lastRenderedPageBreak/>
        <w:t>Tabela</w:t>
      </w:r>
      <w:r w:rsidR="00627CCB">
        <w:t xml:space="preserve"> 4</w:t>
      </w:r>
      <w:r w:rsidRPr="00FC35F1">
        <w:t xml:space="preserve"> – Testes Dickey-Fuller aumentados para presença de raiz unitária para as séries referentes à França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235"/>
        <w:gridCol w:w="2270"/>
        <w:gridCol w:w="2407"/>
        <w:gridCol w:w="2353"/>
      </w:tblGrid>
      <w:tr w:rsidR="005A7F1E" w:rsidRPr="00FC35F1" w14:paraId="56A4CA93" w14:textId="77777777" w:rsidTr="004C23F2"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847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Variável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4D517" w14:textId="77777777" w:rsidR="005A7F1E" w:rsidRPr="00FC35F1" w:rsidRDefault="005A7F1E" w:rsidP="004C23F2">
            <w:pPr>
              <w:jc w:val="center"/>
              <w:rPr>
                <w:i/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 xml:space="preserve">Estatística </w:t>
            </w:r>
            <w:r w:rsidRPr="00FC35F1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FBEB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i/>
                <w:sz w:val="20"/>
                <w:szCs w:val="20"/>
              </w:rPr>
              <w:t>p-</w:t>
            </w:r>
            <w:r w:rsidRPr="00FC35F1">
              <w:rPr>
                <w:sz w:val="20"/>
                <w:szCs w:val="20"/>
              </w:rPr>
              <w:t>valor</w:t>
            </w:r>
          </w:p>
        </w:tc>
      </w:tr>
      <w:tr w:rsidR="005A7F1E" w:rsidRPr="00FC35F1" w14:paraId="09D1FD07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FC3D8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consumo</w:t>
            </w:r>
          </w:p>
        </w:tc>
      </w:tr>
      <w:tr w:rsidR="005A7F1E" w:rsidRPr="00FC35F1" w14:paraId="0227CD83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4AED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152C66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55364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-2,638*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FE09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0,085</w:t>
            </w:r>
          </w:p>
        </w:tc>
      </w:tr>
      <w:tr w:rsidR="005A7F1E" w:rsidRPr="00FC35F1" w14:paraId="6FFB20B1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3C719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9DFE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E846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-2,704*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9DF5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0,073</w:t>
            </w:r>
          </w:p>
        </w:tc>
      </w:tr>
      <w:tr w:rsidR="005A7F1E" w:rsidRPr="00FC35F1" w14:paraId="3BC22228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216B2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D6FD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7BE3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-2,859*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9A95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0,051</w:t>
            </w:r>
          </w:p>
        </w:tc>
      </w:tr>
      <w:tr w:rsidR="005A7F1E" w:rsidRPr="00FC35F1" w14:paraId="08C9315B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5312C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Salários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C3A40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39E3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-3,094**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96C3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0,027</w:t>
            </w:r>
          </w:p>
        </w:tc>
      </w:tr>
      <w:tr w:rsidR="005A7F1E" w:rsidRPr="00FC35F1" w14:paraId="0C488D76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29772C74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210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D16E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-2,822*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3D6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0,055</w:t>
            </w:r>
          </w:p>
        </w:tc>
      </w:tr>
      <w:tr w:rsidR="005A7F1E" w:rsidRPr="00FC35F1" w14:paraId="1174C1E3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6790DA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CE2B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3944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-3,604***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C27EE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0,005</w:t>
            </w:r>
          </w:p>
        </w:tc>
      </w:tr>
      <w:tr w:rsidR="005A7F1E" w:rsidRPr="00FC35F1" w14:paraId="0D859C17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ECE9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879E37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CD826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-1,753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100B1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0,404</w:t>
            </w:r>
          </w:p>
        </w:tc>
      </w:tr>
      <w:tr w:rsidR="005A7F1E" w:rsidRPr="00FC35F1" w14:paraId="625E61D0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1DD12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AD6A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99B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-2,444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ABB4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0,129</w:t>
            </w:r>
          </w:p>
        </w:tc>
      </w:tr>
      <w:tr w:rsidR="005A7F1E" w:rsidRPr="00FC35F1" w14:paraId="651DD125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B410D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B7D6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748B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-2,418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D5BF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0,136</w:t>
            </w:r>
          </w:p>
        </w:tc>
      </w:tr>
      <w:tr w:rsidR="005A7F1E" w:rsidRPr="00FC35F1" w14:paraId="4ED38869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D5E0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3DB187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0403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-2,590*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D46D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0,095</w:t>
            </w:r>
          </w:p>
        </w:tc>
      </w:tr>
      <w:tr w:rsidR="005A7F1E" w:rsidRPr="00FC35F1" w14:paraId="06BEA87A" w14:textId="77777777" w:rsidTr="004C23F2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242509F9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698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323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-2,623*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931F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0,088</w:t>
            </w:r>
          </w:p>
        </w:tc>
      </w:tr>
      <w:tr w:rsidR="005A7F1E" w:rsidRPr="00FC35F1" w14:paraId="372FC4DD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51F855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0AE9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5DAC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-2,779*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6BF8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0,061</w:t>
            </w:r>
          </w:p>
        </w:tc>
      </w:tr>
      <w:tr w:rsidR="005A7F1E" w:rsidRPr="00FC35F1" w14:paraId="21C6B96E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02C0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investimento</w:t>
            </w:r>
          </w:p>
        </w:tc>
      </w:tr>
      <w:tr w:rsidR="005A7F1E" w:rsidRPr="00FC35F1" w14:paraId="5EDC9737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C4681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corrente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AC807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85D7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-2,247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660BB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0,189</w:t>
            </w:r>
          </w:p>
        </w:tc>
      </w:tr>
      <w:tr w:rsidR="005A7F1E" w:rsidRPr="00FC35F1" w14:paraId="7E8802A8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4FA1FF1B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49EC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13D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-3,632***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46AF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0,005</w:t>
            </w:r>
          </w:p>
        </w:tc>
      </w:tr>
      <w:tr w:rsidR="005A7F1E" w:rsidRPr="00FC35F1" w14:paraId="778411A2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DAD614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538F2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8063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-3,548***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247A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0,006</w:t>
            </w:r>
          </w:p>
        </w:tc>
      </w:tr>
      <w:tr w:rsidR="005A7F1E" w:rsidRPr="00FC35F1" w14:paraId="3DC0C5C6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A56718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Produto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0C549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D328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-2,795*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8109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0,058</w:t>
            </w:r>
          </w:p>
        </w:tc>
      </w:tr>
      <w:tr w:rsidR="005A7F1E" w:rsidRPr="00FC35F1" w14:paraId="3E812FC5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277005C3" w14:textId="77777777" w:rsidR="005A7F1E" w:rsidRPr="00FC35F1" w:rsidRDefault="005A7F1E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9D29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F95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-3,215**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776C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0,019</w:t>
            </w:r>
          </w:p>
        </w:tc>
      </w:tr>
      <w:tr w:rsidR="005A7F1E" w:rsidRPr="00FC35F1" w14:paraId="793BEEBA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12619E" w14:textId="77777777" w:rsidR="005A7F1E" w:rsidRPr="00FC35F1" w:rsidRDefault="005A7F1E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7EE6C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2812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-3,141**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249F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0,023</w:t>
            </w:r>
          </w:p>
        </w:tc>
      </w:tr>
      <w:tr w:rsidR="005A7F1E" w:rsidRPr="00FC35F1" w14:paraId="543F8875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254B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Parcela dos 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B9207E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028BC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-1,941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C79F8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0,313</w:t>
            </w:r>
          </w:p>
        </w:tc>
      </w:tr>
      <w:tr w:rsidR="005A7F1E" w:rsidRPr="00FC35F1" w14:paraId="152FC068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2D3DC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6733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EEC1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-2,349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B91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0,156</w:t>
            </w:r>
          </w:p>
        </w:tc>
      </w:tr>
      <w:tr w:rsidR="005A7F1E" w:rsidRPr="00FC35F1" w14:paraId="7051D205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51997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39E7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2B7DC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-2,653*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44618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0,082</w:t>
            </w:r>
          </w:p>
        </w:tc>
      </w:tr>
      <w:tr w:rsidR="005A7F1E" w:rsidRPr="00FC35F1" w14:paraId="0CC5298C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2F8B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Taxa real de juros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3C315D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3E8F0E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-3,575***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02F6D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0,006</w:t>
            </w:r>
          </w:p>
        </w:tc>
      </w:tr>
      <w:tr w:rsidR="005A7F1E" w:rsidRPr="00FC35F1" w14:paraId="73BA230B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78840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BCE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535B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-3,122**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A235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0,025</w:t>
            </w:r>
          </w:p>
        </w:tc>
      </w:tr>
      <w:tr w:rsidR="005A7F1E" w:rsidRPr="00FC35F1" w14:paraId="50C3715A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F5721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E69D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E9F8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-2,834*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CA58F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0,053</w:t>
            </w:r>
          </w:p>
        </w:tc>
      </w:tr>
      <w:tr w:rsidR="005A7F1E" w:rsidRPr="00FC35F1" w14:paraId="576B5402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E070A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defasado</w:t>
            </w:r>
            <w:r w:rsidRPr="00FC35F1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E59CF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D83B6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-2,239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AE8A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0,192</w:t>
            </w:r>
          </w:p>
        </w:tc>
      </w:tr>
      <w:tr w:rsidR="005A7F1E" w:rsidRPr="00FC35F1" w14:paraId="37BBBAC4" w14:textId="77777777" w:rsidTr="004C23F2"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4B82C3AB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9430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171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-3,592***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CC5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0,005</w:t>
            </w:r>
          </w:p>
        </w:tc>
      </w:tr>
      <w:tr w:rsidR="005A7F1E" w:rsidRPr="00FC35F1" w14:paraId="61338BA5" w14:textId="77777777" w:rsidTr="004C23F2">
        <w:trPr>
          <w:trHeight w:val="155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F8C6C6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E5E0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A83B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-3,505***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CEF4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0,007</w:t>
            </w:r>
          </w:p>
        </w:tc>
      </w:tr>
    </w:tbl>
    <w:p w14:paraId="11811CAD" w14:textId="77777777" w:rsidR="005A7F1E" w:rsidRPr="00FC35F1" w:rsidRDefault="005A7F1E" w:rsidP="005A7F1E">
      <w:pPr>
        <w:spacing w:line="240" w:lineRule="auto"/>
      </w:pPr>
      <w:r w:rsidRPr="00FC35F1">
        <w:rPr>
          <w:sz w:val="20"/>
        </w:rPr>
        <w:t>Notas: A hipótese nula consiste na presença de raiz unitária.</w:t>
      </w:r>
    </w:p>
    <w:p w14:paraId="2135C342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</w:rPr>
        <w:t>* - Estatísticas significativas a um nível de significância de 10%.</w:t>
      </w:r>
    </w:p>
    <w:p w14:paraId="26908D79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</w:rPr>
        <w:t>** - Estatísticas significativas a um nível de significância de 5%.</w:t>
      </w:r>
    </w:p>
    <w:p w14:paraId="12903446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</w:rPr>
        <w:t>*** - Estatísticas significativas a um nível de significância de 1%.</w:t>
      </w:r>
    </w:p>
    <w:p w14:paraId="413228B0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a</w:t>
      </w:r>
      <w:r w:rsidRPr="00FC35F1">
        <w:rPr>
          <w:sz w:val="20"/>
        </w:rPr>
        <w:t xml:space="preserve"> - Removeu-se a tendência temporal quadrática da série.</w:t>
      </w:r>
    </w:p>
    <w:p w14:paraId="3C4FB7D0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b</w:t>
      </w:r>
      <w:r w:rsidRPr="00FC35F1">
        <w:rPr>
          <w:sz w:val="20"/>
        </w:rPr>
        <w:t xml:space="preserve"> - Removeu-se a tendência temporal linear da série.</w:t>
      </w:r>
    </w:p>
    <w:p w14:paraId="51329A0A" w14:textId="7954A382" w:rsidR="008640A5" w:rsidRPr="00FC35F1" w:rsidRDefault="008640A5" w:rsidP="00AD0DFC">
      <w:pPr>
        <w:rPr>
          <w:lang w:eastAsia="pt-BR"/>
        </w:rPr>
      </w:pPr>
    </w:p>
    <w:p w14:paraId="26AFFBFE" w14:textId="380294DB" w:rsidR="005A7F1E" w:rsidRPr="00FC35F1" w:rsidRDefault="005A7F1E" w:rsidP="005A7F1E">
      <w:pPr>
        <w:pStyle w:val="Tabela"/>
      </w:pPr>
      <w:r w:rsidRPr="00FC35F1">
        <w:lastRenderedPageBreak/>
        <w:t>Tabela</w:t>
      </w:r>
      <w:r w:rsidR="00627CCB">
        <w:t xml:space="preserve"> 5</w:t>
      </w:r>
      <w:r w:rsidRPr="00FC35F1">
        <w:t xml:space="preserve"> – Testes Dickey-Fuller aumentados para presença de raiz unitária para as séries referentes à Suécia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235"/>
        <w:gridCol w:w="2270"/>
        <w:gridCol w:w="2407"/>
        <w:gridCol w:w="2353"/>
      </w:tblGrid>
      <w:tr w:rsidR="005A7F1E" w:rsidRPr="00FC35F1" w14:paraId="4025CA6C" w14:textId="77777777" w:rsidTr="004C23F2"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304E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Variável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F2221" w14:textId="77777777" w:rsidR="005A7F1E" w:rsidRPr="00FC35F1" w:rsidRDefault="005A7F1E" w:rsidP="004C23F2">
            <w:pPr>
              <w:jc w:val="center"/>
              <w:rPr>
                <w:i/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 xml:space="preserve">Estatística </w:t>
            </w:r>
            <w:r w:rsidRPr="00FC35F1">
              <w:rPr>
                <w:i/>
                <w:sz w:val="20"/>
                <w:szCs w:val="20"/>
              </w:rPr>
              <w:t>t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8CFF2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i/>
                <w:sz w:val="20"/>
                <w:szCs w:val="20"/>
              </w:rPr>
              <w:t>p-</w:t>
            </w:r>
            <w:r w:rsidRPr="00FC35F1">
              <w:rPr>
                <w:sz w:val="20"/>
                <w:szCs w:val="20"/>
              </w:rPr>
              <w:t>valor</w:t>
            </w:r>
          </w:p>
        </w:tc>
      </w:tr>
      <w:tr w:rsidR="005A7F1E" w:rsidRPr="00FC35F1" w14:paraId="3A66F01D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D354C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consumo</w:t>
            </w:r>
          </w:p>
        </w:tc>
      </w:tr>
      <w:tr w:rsidR="005A7F1E" w:rsidRPr="00FC35F1" w14:paraId="6A2F3F12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16626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C8CE8B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A8AA4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-2,335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8277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0,161</w:t>
            </w:r>
          </w:p>
        </w:tc>
      </w:tr>
      <w:tr w:rsidR="005A7F1E" w:rsidRPr="00FC35F1" w14:paraId="17955DA1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387E1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0A3A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1DF4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-3,711***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A2CE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0,004</w:t>
            </w:r>
          </w:p>
        </w:tc>
      </w:tr>
      <w:tr w:rsidR="005A7F1E" w:rsidRPr="00FC35F1" w14:paraId="6E50C167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5A415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4951E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39716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-3,496***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07B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0,008</w:t>
            </w:r>
          </w:p>
        </w:tc>
      </w:tr>
      <w:tr w:rsidR="005A7F1E" w:rsidRPr="00FC35F1" w14:paraId="5E38D2A6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187DC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Salários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E5B1D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A523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-2,156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1947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0,222</w:t>
            </w:r>
          </w:p>
        </w:tc>
      </w:tr>
      <w:tr w:rsidR="005A7F1E" w:rsidRPr="00FC35F1" w14:paraId="120B25FB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44F60019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981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C8D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-3,401**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4D5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5A7F1E" w:rsidRPr="00FC35F1" w14:paraId="62B3F0CF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CDA4F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FF78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7759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-3,430**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71EC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5A7F1E" w:rsidRPr="00FC35F1" w14:paraId="6AEB84E9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A2A7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ABD4F8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1621B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-3,515***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18010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0,007</w:t>
            </w:r>
          </w:p>
        </w:tc>
      </w:tr>
      <w:tr w:rsidR="005A7F1E" w:rsidRPr="00FC35F1" w14:paraId="22C1F290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6E105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358C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B91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-4,284***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933B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5A7F1E" w:rsidRPr="00FC35F1" w14:paraId="4BD3266B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833431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5DFE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C02F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-3,354**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B0B08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0,012</w:t>
            </w:r>
          </w:p>
        </w:tc>
      </w:tr>
      <w:tr w:rsidR="005A7F1E" w:rsidRPr="00FC35F1" w14:paraId="23AB8D6A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5C20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Consumo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109EB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06369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-2,292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91DD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0,174</w:t>
            </w:r>
          </w:p>
        </w:tc>
      </w:tr>
      <w:tr w:rsidR="005A7F1E" w:rsidRPr="00FC35F1" w14:paraId="1B38DC4A" w14:textId="77777777" w:rsidTr="004C23F2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075CE517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651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B227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-3,647***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925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0,004</w:t>
            </w:r>
          </w:p>
        </w:tc>
      </w:tr>
      <w:tr w:rsidR="005A7F1E" w:rsidRPr="00FC35F1" w14:paraId="717485E9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67BDB3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56C6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D306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-3,430**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65F5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0,011</w:t>
            </w:r>
          </w:p>
        </w:tc>
      </w:tr>
      <w:tr w:rsidR="005A7F1E" w:rsidRPr="00FC35F1" w14:paraId="6E6EE09C" w14:textId="77777777" w:rsidTr="004C23F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23EC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Variáveis da função de investimento</w:t>
            </w:r>
          </w:p>
        </w:tc>
      </w:tr>
      <w:tr w:rsidR="005A7F1E" w:rsidRPr="00FC35F1" w14:paraId="4C369CAE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ABA0B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corrente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1FAAE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AA96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-2,188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16CC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0,210</w:t>
            </w:r>
          </w:p>
        </w:tc>
      </w:tr>
      <w:tr w:rsidR="005A7F1E" w:rsidRPr="00FC35F1" w14:paraId="5D84A5B2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66259441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61AC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D81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-3,917***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53E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0,001</w:t>
            </w:r>
          </w:p>
        </w:tc>
      </w:tr>
      <w:tr w:rsidR="005A7F1E" w:rsidRPr="00FC35F1" w14:paraId="2CB5A999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D57807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A80A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5836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-3,223**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E8A8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0,018</w:t>
            </w:r>
          </w:p>
        </w:tc>
      </w:tr>
      <w:tr w:rsidR="005A7F1E" w:rsidRPr="00FC35F1" w14:paraId="009BDDFF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3827C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Produto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AC4ED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18473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-2,347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30D2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0,157</w:t>
            </w:r>
          </w:p>
        </w:tc>
      </w:tr>
      <w:tr w:rsidR="005A7F1E" w:rsidRPr="00FC35F1" w14:paraId="0EF99CDD" w14:textId="77777777" w:rsidTr="004C23F2">
        <w:tc>
          <w:tcPr>
            <w:tcW w:w="1206" w:type="pct"/>
            <w:vMerge/>
            <w:tcBorders>
              <w:left w:val="nil"/>
              <w:right w:val="nil"/>
            </w:tcBorders>
            <w:vAlign w:val="center"/>
          </w:tcPr>
          <w:p w14:paraId="76A030C9" w14:textId="77777777" w:rsidR="005A7F1E" w:rsidRPr="00FC35F1" w:rsidRDefault="005A7F1E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953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50A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-3,587***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B8E8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0,006</w:t>
            </w:r>
          </w:p>
        </w:tc>
      </w:tr>
      <w:tr w:rsidR="005A7F1E" w:rsidRPr="00FC35F1" w14:paraId="4BA43255" w14:textId="77777777" w:rsidTr="004C23F2">
        <w:tc>
          <w:tcPr>
            <w:tcW w:w="120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037213" w14:textId="77777777" w:rsidR="005A7F1E" w:rsidRPr="00FC35F1" w:rsidRDefault="005A7F1E" w:rsidP="004C23F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C07B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FBB08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-2,882**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728C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0,047</w:t>
            </w:r>
          </w:p>
        </w:tc>
      </w:tr>
      <w:tr w:rsidR="005A7F1E" w:rsidRPr="00FC35F1" w14:paraId="3075549E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BD12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Parcela dos lucros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02A832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FB4B7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-2,505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8B3B7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0,114</w:t>
            </w:r>
          </w:p>
        </w:tc>
      </w:tr>
      <w:tr w:rsidR="005A7F1E" w:rsidRPr="00FC35F1" w14:paraId="20E8478F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C0C10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79369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EF59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-3,125**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8E0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0,024</w:t>
            </w:r>
          </w:p>
        </w:tc>
      </w:tr>
      <w:tr w:rsidR="005A7F1E" w:rsidRPr="00FC35F1" w14:paraId="1AECD2B1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E0874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6F2E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15A9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-3,082**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C2D9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0,027</w:t>
            </w:r>
          </w:p>
        </w:tc>
      </w:tr>
      <w:tr w:rsidR="005A7F1E" w:rsidRPr="00FC35F1" w14:paraId="7DDCF771" w14:textId="77777777" w:rsidTr="004C23F2">
        <w:tc>
          <w:tcPr>
            <w:tcW w:w="12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BA0E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Taxa real de juros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3968A7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70D69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-5,518***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E5258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0,000</w:t>
            </w:r>
          </w:p>
        </w:tc>
      </w:tr>
      <w:tr w:rsidR="005A7F1E" w:rsidRPr="00FC35F1" w14:paraId="648E0907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D96C6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DF2FD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8B35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-3,166**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C4C0B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0,022</w:t>
            </w:r>
          </w:p>
        </w:tc>
      </w:tr>
      <w:tr w:rsidR="005A7F1E" w:rsidRPr="00FC35F1" w14:paraId="168D489C" w14:textId="77777777" w:rsidTr="004C23F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D32E0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59358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253E4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-3,059**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8F8CA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0,029</w:t>
            </w:r>
          </w:p>
        </w:tc>
      </w:tr>
      <w:tr w:rsidR="005A7F1E" w:rsidRPr="00FC35F1" w14:paraId="11109312" w14:textId="77777777" w:rsidTr="004C23F2"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273960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Investimento defasado</w:t>
            </w:r>
            <w:r w:rsidRPr="00FC35F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0F444" w14:textId="77777777" w:rsidR="005A7F1E" w:rsidRPr="00FC35F1" w:rsidRDefault="000D4F61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786C1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-2,144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980D7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0,227</w:t>
            </w:r>
          </w:p>
        </w:tc>
      </w:tr>
      <w:tr w:rsidR="005A7F1E" w:rsidRPr="00FC35F1" w14:paraId="375AB5CB" w14:textId="77777777" w:rsidTr="004C23F2"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43E6E0A5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023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D85E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-3,829***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71C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0,002</w:t>
            </w:r>
          </w:p>
        </w:tc>
      </w:tr>
      <w:tr w:rsidR="005A7F1E" w:rsidRPr="00FC35F1" w14:paraId="19769A01" w14:textId="77777777" w:rsidTr="004C23F2"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FCEAF0" w14:textId="77777777" w:rsidR="005A7F1E" w:rsidRPr="00FC35F1" w:rsidRDefault="005A7F1E" w:rsidP="004C23F2">
            <w:pPr>
              <w:suppressAutoHyphens w:val="0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DC9E2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t-1</m:t>
                    </m:r>
                  </m:sub>
                </m:sSub>
              </m:oMath>
            </m:oMathPara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6D4FF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-3,170**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5F1B6" w14:textId="77777777" w:rsidR="005A7F1E" w:rsidRPr="00FC35F1" w:rsidRDefault="005A7F1E" w:rsidP="004C23F2">
            <w:pPr>
              <w:jc w:val="center"/>
              <w:rPr>
                <w:sz w:val="20"/>
                <w:szCs w:val="20"/>
              </w:rPr>
            </w:pPr>
            <w:r w:rsidRPr="00FC35F1">
              <w:rPr>
                <w:sz w:val="20"/>
                <w:szCs w:val="20"/>
              </w:rPr>
              <w:t>0,021</w:t>
            </w:r>
          </w:p>
        </w:tc>
      </w:tr>
    </w:tbl>
    <w:p w14:paraId="75FEC564" w14:textId="77777777" w:rsidR="005A7F1E" w:rsidRPr="00FC35F1" w:rsidRDefault="005A7F1E" w:rsidP="005A7F1E">
      <w:pPr>
        <w:spacing w:line="240" w:lineRule="auto"/>
      </w:pPr>
      <w:r w:rsidRPr="00FC35F1">
        <w:rPr>
          <w:sz w:val="20"/>
        </w:rPr>
        <w:t>Notas: A hipótese nula consiste na presença de raiz unitária.</w:t>
      </w:r>
    </w:p>
    <w:p w14:paraId="49E793E6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</w:rPr>
        <w:t>* - Estatísticas significativas a um nível de significância de 10%.</w:t>
      </w:r>
    </w:p>
    <w:p w14:paraId="5421C116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</w:rPr>
        <w:t>** - Estatísticas significativas a um nível de significância de 5%.</w:t>
      </w:r>
    </w:p>
    <w:p w14:paraId="2DF93D5D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</w:rPr>
        <w:t>*** - Estatísticas significativas a um nível de significância de 1%.</w:t>
      </w:r>
    </w:p>
    <w:p w14:paraId="4DB3E07E" w14:textId="77777777" w:rsidR="005A7F1E" w:rsidRPr="00FC35F1" w:rsidRDefault="005A7F1E" w:rsidP="005A7F1E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a</w:t>
      </w:r>
      <w:r w:rsidRPr="00FC35F1">
        <w:rPr>
          <w:sz w:val="20"/>
        </w:rPr>
        <w:t xml:space="preserve"> - Removeu-se a tendência temporal quadrática da série.</w:t>
      </w:r>
    </w:p>
    <w:p w14:paraId="3FF15C9E" w14:textId="57FB287C" w:rsidR="00627CCB" w:rsidRPr="00627CCB" w:rsidRDefault="005A7F1E" w:rsidP="00627CCB">
      <w:pPr>
        <w:spacing w:line="240" w:lineRule="auto"/>
        <w:rPr>
          <w:sz w:val="20"/>
        </w:rPr>
      </w:pPr>
      <w:r w:rsidRPr="00FC35F1">
        <w:rPr>
          <w:sz w:val="20"/>
          <w:vertAlign w:val="superscript"/>
        </w:rPr>
        <w:t>b</w:t>
      </w:r>
      <w:r w:rsidRPr="00FC35F1">
        <w:rPr>
          <w:sz w:val="20"/>
        </w:rPr>
        <w:t xml:space="preserve"> - Removeu-se a tendência temporal linear da série.</w:t>
      </w:r>
      <w:bookmarkStart w:id="0" w:name="_GoBack"/>
      <w:bookmarkEnd w:id="0"/>
    </w:p>
    <w:sectPr w:rsidR="00627CCB" w:rsidRPr="00627CCB" w:rsidSect="00A85813"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415E7" w14:textId="77777777" w:rsidR="000D4F61" w:rsidRDefault="000D4F61">
      <w:pPr>
        <w:spacing w:line="240" w:lineRule="auto"/>
      </w:pPr>
      <w:r>
        <w:separator/>
      </w:r>
    </w:p>
  </w:endnote>
  <w:endnote w:type="continuationSeparator" w:id="0">
    <w:p w14:paraId="47F1138F" w14:textId="77777777" w:rsidR="000D4F61" w:rsidRDefault="000D4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982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220F7" w14:textId="0628BAD3" w:rsidR="003E503B" w:rsidRDefault="003E5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C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FC8BC8" w14:textId="77777777" w:rsidR="003E503B" w:rsidRDefault="003E5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5AE9A" w14:textId="77777777" w:rsidR="000D4F61" w:rsidRDefault="000D4F61">
      <w:r>
        <w:separator/>
      </w:r>
    </w:p>
  </w:footnote>
  <w:footnote w:type="continuationSeparator" w:id="0">
    <w:p w14:paraId="78920D83" w14:textId="77777777" w:rsidR="000D4F61" w:rsidRDefault="000D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A0C5" w14:textId="77777777" w:rsidR="003E503B" w:rsidRDefault="003E503B">
    <w:pPr>
      <w:pStyle w:val="Header"/>
    </w:pPr>
  </w:p>
  <w:p w14:paraId="7B9464CD" w14:textId="77777777" w:rsidR="003E503B" w:rsidRDefault="003E503B">
    <w:pPr>
      <w:pStyle w:val="Header"/>
    </w:pPr>
  </w:p>
  <w:p w14:paraId="2A6F9D59" w14:textId="77777777" w:rsidR="003E503B" w:rsidRDefault="003E503B">
    <w:pPr>
      <w:pStyle w:val="Header"/>
    </w:pPr>
  </w:p>
  <w:p w14:paraId="16F438F3" w14:textId="77777777" w:rsidR="003E503B" w:rsidRDefault="003E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AEBF" w14:textId="77777777" w:rsidR="003E503B" w:rsidRDefault="003E503B">
    <w:pPr>
      <w:pStyle w:val="Header"/>
    </w:pPr>
  </w:p>
  <w:p w14:paraId="3AFBC8DA" w14:textId="020C4AF6" w:rsidR="003E503B" w:rsidRDefault="003E503B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D05"/>
    <w:rsid w:val="000049F1"/>
    <w:rsid w:val="00006C25"/>
    <w:rsid w:val="00010D3E"/>
    <w:rsid w:val="000129EF"/>
    <w:rsid w:val="000145DA"/>
    <w:rsid w:val="00022A41"/>
    <w:rsid w:val="00024328"/>
    <w:rsid w:val="0003174D"/>
    <w:rsid w:val="000333CD"/>
    <w:rsid w:val="00033829"/>
    <w:rsid w:val="00037A63"/>
    <w:rsid w:val="00040168"/>
    <w:rsid w:val="000408D3"/>
    <w:rsid w:val="00041DD7"/>
    <w:rsid w:val="000507E3"/>
    <w:rsid w:val="00055EC6"/>
    <w:rsid w:val="00064920"/>
    <w:rsid w:val="00067348"/>
    <w:rsid w:val="00072BF6"/>
    <w:rsid w:val="00075BB6"/>
    <w:rsid w:val="0007682B"/>
    <w:rsid w:val="00076CC3"/>
    <w:rsid w:val="00077890"/>
    <w:rsid w:val="0008077B"/>
    <w:rsid w:val="000845B9"/>
    <w:rsid w:val="00085CCE"/>
    <w:rsid w:val="0008672B"/>
    <w:rsid w:val="00087C93"/>
    <w:rsid w:val="00096BDE"/>
    <w:rsid w:val="000A2B0A"/>
    <w:rsid w:val="000A5D24"/>
    <w:rsid w:val="000C1B45"/>
    <w:rsid w:val="000C7078"/>
    <w:rsid w:val="000D026D"/>
    <w:rsid w:val="000D0B74"/>
    <w:rsid w:val="000D11C7"/>
    <w:rsid w:val="000D2667"/>
    <w:rsid w:val="000D3E5B"/>
    <w:rsid w:val="000D4F61"/>
    <w:rsid w:val="000E2537"/>
    <w:rsid w:val="000F08CC"/>
    <w:rsid w:val="000F304B"/>
    <w:rsid w:val="000F58BC"/>
    <w:rsid w:val="001030D4"/>
    <w:rsid w:val="00105DDD"/>
    <w:rsid w:val="00106937"/>
    <w:rsid w:val="00110914"/>
    <w:rsid w:val="0011345E"/>
    <w:rsid w:val="001171F2"/>
    <w:rsid w:val="00117530"/>
    <w:rsid w:val="001176FF"/>
    <w:rsid w:val="00123AC4"/>
    <w:rsid w:val="00126614"/>
    <w:rsid w:val="00127248"/>
    <w:rsid w:val="0013123D"/>
    <w:rsid w:val="0013225D"/>
    <w:rsid w:val="001327FC"/>
    <w:rsid w:val="00134631"/>
    <w:rsid w:val="001560DC"/>
    <w:rsid w:val="00162890"/>
    <w:rsid w:val="001771ED"/>
    <w:rsid w:val="00177CB9"/>
    <w:rsid w:val="001808DD"/>
    <w:rsid w:val="00185109"/>
    <w:rsid w:val="0018638E"/>
    <w:rsid w:val="00186F59"/>
    <w:rsid w:val="0019073F"/>
    <w:rsid w:val="0019278C"/>
    <w:rsid w:val="00196989"/>
    <w:rsid w:val="001A14CE"/>
    <w:rsid w:val="001A14F3"/>
    <w:rsid w:val="001A39EC"/>
    <w:rsid w:val="001B199C"/>
    <w:rsid w:val="001B2258"/>
    <w:rsid w:val="001B3FC8"/>
    <w:rsid w:val="001C0481"/>
    <w:rsid w:val="001C07B4"/>
    <w:rsid w:val="001C1728"/>
    <w:rsid w:val="001C26F1"/>
    <w:rsid w:val="001C5189"/>
    <w:rsid w:val="001C5577"/>
    <w:rsid w:val="001C7CB0"/>
    <w:rsid w:val="001D45A2"/>
    <w:rsid w:val="001E0AF7"/>
    <w:rsid w:val="001E27F9"/>
    <w:rsid w:val="001E5445"/>
    <w:rsid w:val="001F2BB2"/>
    <w:rsid w:val="001F2F72"/>
    <w:rsid w:val="001F50F9"/>
    <w:rsid w:val="0020056A"/>
    <w:rsid w:val="00200FFF"/>
    <w:rsid w:val="0023652F"/>
    <w:rsid w:val="002376F5"/>
    <w:rsid w:val="0024569A"/>
    <w:rsid w:val="00245CCF"/>
    <w:rsid w:val="00251369"/>
    <w:rsid w:val="00266491"/>
    <w:rsid w:val="002674BF"/>
    <w:rsid w:val="00272884"/>
    <w:rsid w:val="00272898"/>
    <w:rsid w:val="00273222"/>
    <w:rsid w:val="002767CB"/>
    <w:rsid w:val="002771CB"/>
    <w:rsid w:val="002775B2"/>
    <w:rsid w:val="00284557"/>
    <w:rsid w:val="0028510A"/>
    <w:rsid w:val="002927B5"/>
    <w:rsid w:val="002943FD"/>
    <w:rsid w:val="002A1C4F"/>
    <w:rsid w:val="002B59FA"/>
    <w:rsid w:val="002C49E8"/>
    <w:rsid w:val="002C716C"/>
    <w:rsid w:val="002D18A1"/>
    <w:rsid w:val="002E76AB"/>
    <w:rsid w:val="002E7FC2"/>
    <w:rsid w:val="003031E8"/>
    <w:rsid w:val="00305BEA"/>
    <w:rsid w:val="00305CFD"/>
    <w:rsid w:val="0031027D"/>
    <w:rsid w:val="00312D1E"/>
    <w:rsid w:val="003133AF"/>
    <w:rsid w:val="00321B30"/>
    <w:rsid w:val="00324718"/>
    <w:rsid w:val="003334CE"/>
    <w:rsid w:val="00333CE9"/>
    <w:rsid w:val="00337ABB"/>
    <w:rsid w:val="0034511C"/>
    <w:rsid w:val="003465B6"/>
    <w:rsid w:val="00346759"/>
    <w:rsid w:val="00353436"/>
    <w:rsid w:val="003611D2"/>
    <w:rsid w:val="00363526"/>
    <w:rsid w:val="00365ED7"/>
    <w:rsid w:val="003755C0"/>
    <w:rsid w:val="00375FA0"/>
    <w:rsid w:val="0037698D"/>
    <w:rsid w:val="00380225"/>
    <w:rsid w:val="00380226"/>
    <w:rsid w:val="003805F1"/>
    <w:rsid w:val="003831D6"/>
    <w:rsid w:val="003850CB"/>
    <w:rsid w:val="003873C9"/>
    <w:rsid w:val="00391123"/>
    <w:rsid w:val="00391A08"/>
    <w:rsid w:val="0039420C"/>
    <w:rsid w:val="0039481E"/>
    <w:rsid w:val="003A3F5F"/>
    <w:rsid w:val="003A64B1"/>
    <w:rsid w:val="003B4FC4"/>
    <w:rsid w:val="003C4C3E"/>
    <w:rsid w:val="003D67BE"/>
    <w:rsid w:val="003E375D"/>
    <w:rsid w:val="003E503B"/>
    <w:rsid w:val="003E5861"/>
    <w:rsid w:val="003F4383"/>
    <w:rsid w:val="003F5A87"/>
    <w:rsid w:val="003F7F10"/>
    <w:rsid w:val="00400B6B"/>
    <w:rsid w:val="00400B7D"/>
    <w:rsid w:val="004019A6"/>
    <w:rsid w:val="00413EFD"/>
    <w:rsid w:val="00416163"/>
    <w:rsid w:val="0042358A"/>
    <w:rsid w:val="00425759"/>
    <w:rsid w:val="0042642E"/>
    <w:rsid w:val="00430832"/>
    <w:rsid w:val="00433E02"/>
    <w:rsid w:val="00436C33"/>
    <w:rsid w:val="004460EF"/>
    <w:rsid w:val="0044677F"/>
    <w:rsid w:val="00452B9A"/>
    <w:rsid w:val="00455EEF"/>
    <w:rsid w:val="00464103"/>
    <w:rsid w:val="00470BF6"/>
    <w:rsid w:val="004741BD"/>
    <w:rsid w:val="00476209"/>
    <w:rsid w:val="00477472"/>
    <w:rsid w:val="004811B3"/>
    <w:rsid w:val="00482BE6"/>
    <w:rsid w:val="004864A1"/>
    <w:rsid w:val="00492DCB"/>
    <w:rsid w:val="004A1208"/>
    <w:rsid w:val="004A580F"/>
    <w:rsid w:val="004B0177"/>
    <w:rsid w:val="004B14D3"/>
    <w:rsid w:val="004B2C02"/>
    <w:rsid w:val="004B6507"/>
    <w:rsid w:val="004B78E9"/>
    <w:rsid w:val="004C2388"/>
    <w:rsid w:val="004C23F2"/>
    <w:rsid w:val="004C272E"/>
    <w:rsid w:val="004C32C0"/>
    <w:rsid w:val="004D30E2"/>
    <w:rsid w:val="004D377B"/>
    <w:rsid w:val="004F1036"/>
    <w:rsid w:val="004F1A18"/>
    <w:rsid w:val="004F4DFE"/>
    <w:rsid w:val="0050081C"/>
    <w:rsid w:val="0050379A"/>
    <w:rsid w:val="00504D5B"/>
    <w:rsid w:val="00510995"/>
    <w:rsid w:val="00515590"/>
    <w:rsid w:val="0052282F"/>
    <w:rsid w:val="00524B59"/>
    <w:rsid w:val="0053047F"/>
    <w:rsid w:val="00532A24"/>
    <w:rsid w:val="00541F58"/>
    <w:rsid w:val="0054496F"/>
    <w:rsid w:val="00546E28"/>
    <w:rsid w:val="00551D9D"/>
    <w:rsid w:val="00555190"/>
    <w:rsid w:val="0055639E"/>
    <w:rsid w:val="00562ED9"/>
    <w:rsid w:val="00575EA9"/>
    <w:rsid w:val="005775C2"/>
    <w:rsid w:val="0058531E"/>
    <w:rsid w:val="005861BA"/>
    <w:rsid w:val="00587218"/>
    <w:rsid w:val="00591349"/>
    <w:rsid w:val="005930AA"/>
    <w:rsid w:val="0059495B"/>
    <w:rsid w:val="005A3704"/>
    <w:rsid w:val="005A6F07"/>
    <w:rsid w:val="005A7F1E"/>
    <w:rsid w:val="005B5A8A"/>
    <w:rsid w:val="005B60E9"/>
    <w:rsid w:val="005C1AD7"/>
    <w:rsid w:val="005C1E28"/>
    <w:rsid w:val="005D1718"/>
    <w:rsid w:val="005D251D"/>
    <w:rsid w:val="005D6198"/>
    <w:rsid w:val="005D7077"/>
    <w:rsid w:val="005E688B"/>
    <w:rsid w:val="005F6754"/>
    <w:rsid w:val="005F6EBB"/>
    <w:rsid w:val="0060177D"/>
    <w:rsid w:val="00602585"/>
    <w:rsid w:val="00603E91"/>
    <w:rsid w:val="00604128"/>
    <w:rsid w:val="00604ADA"/>
    <w:rsid w:val="00605592"/>
    <w:rsid w:val="00605BC2"/>
    <w:rsid w:val="0060613D"/>
    <w:rsid w:val="00607BEF"/>
    <w:rsid w:val="00611B94"/>
    <w:rsid w:val="00612195"/>
    <w:rsid w:val="00621E91"/>
    <w:rsid w:val="006228A1"/>
    <w:rsid w:val="0062560F"/>
    <w:rsid w:val="00627CCB"/>
    <w:rsid w:val="006416B2"/>
    <w:rsid w:val="00646604"/>
    <w:rsid w:val="00646938"/>
    <w:rsid w:val="00646EA4"/>
    <w:rsid w:val="0065557A"/>
    <w:rsid w:val="00656FDF"/>
    <w:rsid w:val="006718A1"/>
    <w:rsid w:val="00681798"/>
    <w:rsid w:val="00683832"/>
    <w:rsid w:val="00684A43"/>
    <w:rsid w:val="00685C49"/>
    <w:rsid w:val="00696D54"/>
    <w:rsid w:val="006A0C3C"/>
    <w:rsid w:val="006A33C9"/>
    <w:rsid w:val="006A5B7D"/>
    <w:rsid w:val="006A702A"/>
    <w:rsid w:val="006B24EF"/>
    <w:rsid w:val="006C5AE1"/>
    <w:rsid w:val="006C6E95"/>
    <w:rsid w:val="006D1D3A"/>
    <w:rsid w:val="006D3A2E"/>
    <w:rsid w:val="006D6BD9"/>
    <w:rsid w:val="006D709A"/>
    <w:rsid w:val="006E1878"/>
    <w:rsid w:val="006E550B"/>
    <w:rsid w:val="006E7FFB"/>
    <w:rsid w:val="006F054C"/>
    <w:rsid w:val="006F490E"/>
    <w:rsid w:val="00701A24"/>
    <w:rsid w:val="00702FC5"/>
    <w:rsid w:val="00704325"/>
    <w:rsid w:val="00705120"/>
    <w:rsid w:val="007123BA"/>
    <w:rsid w:val="00717B5B"/>
    <w:rsid w:val="007250E5"/>
    <w:rsid w:val="00725539"/>
    <w:rsid w:val="00726D05"/>
    <w:rsid w:val="007320EC"/>
    <w:rsid w:val="00735747"/>
    <w:rsid w:val="00735890"/>
    <w:rsid w:val="007430DB"/>
    <w:rsid w:val="0074794B"/>
    <w:rsid w:val="00747CA3"/>
    <w:rsid w:val="007516FD"/>
    <w:rsid w:val="0075210F"/>
    <w:rsid w:val="00757A14"/>
    <w:rsid w:val="00762714"/>
    <w:rsid w:val="007701E2"/>
    <w:rsid w:val="00772FAE"/>
    <w:rsid w:val="00773A36"/>
    <w:rsid w:val="00774F31"/>
    <w:rsid w:val="00775783"/>
    <w:rsid w:val="00785608"/>
    <w:rsid w:val="00792958"/>
    <w:rsid w:val="007967A3"/>
    <w:rsid w:val="007A4E6D"/>
    <w:rsid w:val="007A4F3A"/>
    <w:rsid w:val="007A642E"/>
    <w:rsid w:val="007C1746"/>
    <w:rsid w:val="007C3C0A"/>
    <w:rsid w:val="007C4CF8"/>
    <w:rsid w:val="007C5690"/>
    <w:rsid w:val="007D130D"/>
    <w:rsid w:val="007D1517"/>
    <w:rsid w:val="007D2023"/>
    <w:rsid w:val="007D6683"/>
    <w:rsid w:val="007E714F"/>
    <w:rsid w:val="007F5517"/>
    <w:rsid w:val="007F6040"/>
    <w:rsid w:val="00800128"/>
    <w:rsid w:val="00800357"/>
    <w:rsid w:val="00801A99"/>
    <w:rsid w:val="00806055"/>
    <w:rsid w:val="00811011"/>
    <w:rsid w:val="008225AC"/>
    <w:rsid w:val="00827B82"/>
    <w:rsid w:val="00833CFB"/>
    <w:rsid w:val="00850A57"/>
    <w:rsid w:val="008640A5"/>
    <w:rsid w:val="00864877"/>
    <w:rsid w:val="008716B5"/>
    <w:rsid w:val="0087642F"/>
    <w:rsid w:val="00892DFE"/>
    <w:rsid w:val="0089614B"/>
    <w:rsid w:val="008A6A3C"/>
    <w:rsid w:val="008B0CE1"/>
    <w:rsid w:val="008B231A"/>
    <w:rsid w:val="008C434C"/>
    <w:rsid w:val="008D41B6"/>
    <w:rsid w:val="008D4617"/>
    <w:rsid w:val="008E4990"/>
    <w:rsid w:val="008F0B49"/>
    <w:rsid w:val="00910C56"/>
    <w:rsid w:val="00917852"/>
    <w:rsid w:val="00917BBB"/>
    <w:rsid w:val="0092164D"/>
    <w:rsid w:val="009279D5"/>
    <w:rsid w:val="009312DA"/>
    <w:rsid w:val="00935EC9"/>
    <w:rsid w:val="0093689D"/>
    <w:rsid w:val="0094257F"/>
    <w:rsid w:val="009434E9"/>
    <w:rsid w:val="0094502F"/>
    <w:rsid w:val="00950F36"/>
    <w:rsid w:val="009517FB"/>
    <w:rsid w:val="00954D02"/>
    <w:rsid w:val="00963585"/>
    <w:rsid w:val="00963F88"/>
    <w:rsid w:val="009658E5"/>
    <w:rsid w:val="009727B2"/>
    <w:rsid w:val="00973B09"/>
    <w:rsid w:val="00974E40"/>
    <w:rsid w:val="0098537C"/>
    <w:rsid w:val="00993B8A"/>
    <w:rsid w:val="009A0BA6"/>
    <w:rsid w:val="009A13CF"/>
    <w:rsid w:val="009A2C29"/>
    <w:rsid w:val="009A355D"/>
    <w:rsid w:val="009A5AEC"/>
    <w:rsid w:val="009C1B52"/>
    <w:rsid w:val="009C1C5D"/>
    <w:rsid w:val="009C3CE1"/>
    <w:rsid w:val="009C3F97"/>
    <w:rsid w:val="009C6EED"/>
    <w:rsid w:val="009D024F"/>
    <w:rsid w:val="009D6764"/>
    <w:rsid w:val="009E2E8B"/>
    <w:rsid w:val="009E6BD4"/>
    <w:rsid w:val="009E786E"/>
    <w:rsid w:val="009F1318"/>
    <w:rsid w:val="009F4E50"/>
    <w:rsid w:val="00A035BC"/>
    <w:rsid w:val="00A03A07"/>
    <w:rsid w:val="00A03CD3"/>
    <w:rsid w:val="00A161DF"/>
    <w:rsid w:val="00A223E2"/>
    <w:rsid w:val="00A2407E"/>
    <w:rsid w:val="00A24664"/>
    <w:rsid w:val="00A2578A"/>
    <w:rsid w:val="00A3136F"/>
    <w:rsid w:val="00A33460"/>
    <w:rsid w:val="00A358B2"/>
    <w:rsid w:val="00A373E4"/>
    <w:rsid w:val="00A47A51"/>
    <w:rsid w:val="00A53F80"/>
    <w:rsid w:val="00A615CC"/>
    <w:rsid w:val="00A619FF"/>
    <w:rsid w:val="00A72C46"/>
    <w:rsid w:val="00A73CB9"/>
    <w:rsid w:val="00A76AEF"/>
    <w:rsid w:val="00A77CE5"/>
    <w:rsid w:val="00A85813"/>
    <w:rsid w:val="00A9322F"/>
    <w:rsid w:val="00A96956"/>
    <w:rsid w:val="00AA3C84"/>
    <w:rsid w:val="00AB6F29"/>
    <w:rsid w:val="00AC092B"/>
    <w:rsid w:val="00AC3FB2"/>
    <w:rsid w:val="00AD0DFC"/>
    <w:rsid w:val="00AD264F"/>
    <w:rsid w:val="00AD568A"/>
    <w:rsid w:val="00AD70A5"/>
    <w:rsid w:val="00AE1535"/>
    <w:rsid w:val="00AE697B"/>
    <w:rsid w:val="00AF1424"/>
    <w:rsid w:val="00AF1483"/>
    <w:rsid w:val="00AF1F04"/>
    <w:rsid w:val="00AF303E"/>
    <w:rsid w:val="00B0012C"/>
    <w:rsid w:val="00B05039"/>
    <w:rsid w:val="00B06B95"/>
    <w:rsid w:val="00B1418E"/>
    <w:rsid w:val="00B269DD"/>
    <w:rsid w:val="00B33D89"/>
    <w:rsid w:val="00B42285"/>
    <w:rsid w:val="00B43D2C"/>
    <w:rsid w:val="00B47839"/>
    <w:rsid w:val="00B55E7A"/>
    <w:rsid w:val="00B5608C"/>
    <w:rsid w:val="00B611A4"/>
    <w:rsid w:val="00B67CE5"/>
    <w:rsid w:val="00B85E20"/>
    <w:rsid w:val="00B86519"/>
    <w:rsid w:val="00B8732D"/>
    <w:rsid w:val="00BA3C3D"/>
    <w:rsid w:val="00BB374F"/>
    <w:rsid w:val="00BB4D78"/>
    <w:rsid w:val="00BB4FC3"/>
    <w:rsid w:val="00BC23FE"/>
    <w:rsid w:val="00BC3EFE"/>
    <w:rsid w:val="00BC41EF"/>
    <w:rsid w:val="00BD182B"/>
    <w:rsid w:val="00BD52A2"/>
    <w:rsid w:val="00BE68D8"/>
    <w:rsid w:val="00BF026C"/>
    <w:rsid w:val="00BF08C3"/>
    <w:rsid w:val="00BF2D1C"/>
    <w:rsid w:val="00BF33DF"/>
    <w:rsid w:val="00BF5904"/>
    <w:rsid w:val="00BF69A7"/>
    <w:rsid w:val="00C02587"/>
    <w:rsid w:val="00C03871"/>
    <w:rsid w:val="00C05AD8"/>
    <w:rsid w:val="00C06431"/>
    <w:rsid w:val="00C10493"/>
    <w:rsid w:val="00C15F5B"/>
    <w:rsid w:val="00C16010"/>
    <w:rsid w:val="00C217AB"/>
    <w:rsid w:val="00C22D8E"/>
    <w:rsid w:val="00C24699"/>
    <w:rsid w:val="00C325BB"/>
    <w:rsid w:val="00C44147"/>
    <w:rsid w:val="00C444FD"/>
    <w:rsid w:val="00C50986"/>
    <w:rsid w:val="00C51ACD"/>
    <w:rsid w:val="00C5206D"/>
    <w:rsid w:val="00C52310"/>
    <w:rsid w:val="00C5551F"/>
    <w:rsid w:val="00C56E51"/>
    <w:rsid w:val="00C60D67"/>
    <w:rsid w:val="00C64A9E"/>
    <w:rsid w:val="00C64DE5"/>
    <w:rsid w:val="00C74184"/>
    <w:rsid w:val="00C74F27"/>
    <w:rsid w:val="00C80657"/>
    <w:rsid w:val="00C84A91"/>
    <w:rsid w:val="00C866DE"/>
    <w:rsid w:val="00C91C80"/>
    <w:rsid w:val="00C93C0C"/>
    <w:rsid w:val="00C966A2"/>
    <w:rsid w:val="00C96841"/>
    <w:rsid w:val="00CA2BEC"/>
    <w:rsid w:val="00CB1CAC"/>
    <w:rsid w:val="00CB2F9C"/>
    <w:rsid w:val="00CB3BD7"/>
    <w:rsid w:val="00CB682D"/>
    <w:rsid w:val="00CC2CFF"/>
    <w:rsid w:val="00CC348C"/>
    <w:rsid w:val="00CD0068"/>
    <w:rsid w:val="00CD3344"/>
    <w:rsid w:val="00CE4946"/>
    <w:rsid w:val="00CF2322"/>
    <w:rsid w:val="00CF3EBB"/>
    <w:rsid w:val="00CF4671"/>
    <w:rsid w:val="00CF6491"/>
    <w:rsid w:val="00D15182"/>
    <w:rsid w:val="00D152D8"/>
    <w:rsid w:val="00D15667"/>
    <w:rsid w:val="00D21258"/>
    <w:rsid w:val="00D25DDF"/>
    <w:rsid w:val="00D36C55"/>
    <w:rsid w:val="00D435EC"/>
    <w:rsid w:val="00D5192B"/>
    <w:rsid w:val="00D51BF7"/>
    <w:rsid w:val="00D567BD"/>
    <w:rsid w:val="00D65258"/>
    <w:rsid w:val="00D65958"/>
    <w:rsid w:val="00D65FB4"/>
    <w:rsid w:val="00D6738E"/>
    <w:rsid w:val="00D71271"/>
    <w:rsid w:val="00D736DC"/>
    <w:rsid w:val="00D75AB5"/>
    <w:rsid w:val="00D81CD7"/>
    <w:rsid w:val="00D862D6"/>
    <w:rsid w:val="00D9409A"/>
    <w:rsid w:val="00D9458B"/>
    <w:rsid w:val="00D947F0"/>
    <w:rsid w:val="00DA23B9"/>
    <w:rsid w:val="00DA6494"/>
    <w:rsid w:val="00DC235A"/>
    <w:rsid w:val="00DC4810"/>
    <w:rsid w:val="00DE0BDD"/>
    <w:rsid w:val="00DE1DAA"/>
    <w:rsid w:val="00DE5F99"/>
    <w:rsid w:val="00DE6E68"/>
    <w:rsid w:val="00DF5BAC"/>
    <w:rsid w:val="00DF7062"/>
    <w:rsid w:val="00E01955"/>
    <w:rsid w:val="00E01F79"/>
    <w:rsid w:val="00E1275A"/>
    <w:rsid w:val="00E12AF9"/>
    <w:rsid w:val="00E12CB3"/>
    <w:rsid w:val="00E12E26"/>
    <w:rsid w:val="00E130BC"/>
    <w:rsid w:val="00E200C9"/>
    <w:rsid w:val="00E25C55"/>
    <w:rsid w:val="00E273C8"/>
    <w:rsid w:val="00E31AFC"/>
    <w:rsid w:val="00E36B1A"/>
    <w:rsid w:val="00E42561"/>
    <w:rsid w:val="00E43BE0"/>
    <w:rsid w:val="00E462A7"/>
    <w:rsid w:val="00E47881"/>
    <w:rsid w:val="00E77503"/>
    <w:rsid w:val="00E8224A"/>
    <w:rsid w:val="00E963AB"/>
    <w:rsid w:val="00E97A54"/>
    <w:rsid w:val="00EA0EFB"/>
    <w:rsid w:val="00EA1777"/>
    <w:rsid w:val="00EA18C2"/>
    <w:rsid w:val="00EA26DA"/>
    <w:rsid w:val="00EA33F0"/>
    <w:rsid w:val="00EB186C"/>
    <w:rsid w:val="00EC6F3A"/>
    <w:rsid w:val="00ED0A3F"/>
    <w:rsid w:val="00ED7847"/>
    <w:rsid w:val="00EE19B4"/>
    <w:rsid w:val="00EF0C6E"/>
    <w:rsid w:val="00EF22BC"/>
    <w:rsid w:val="00EF2618"/>
    <w:rsid w:val="00EF3722"/>
    <w:rsid w:val="00EF6E01"/>
    <w:rsid w:val="00F01AFF"/>
    <w:rsid w:val="00F13EAA"/>
    <w:rsid w:val="00F1509A"/>
    <w:rsid w:val="00F17CA3"/>
    <w:rsid w:val="00F2087A"/>
    <w:rsid w:val="00F21005"/>
    <w:rsid w:val="00F2320B"/>
    <w:rsid w:val="00F24F92"/>
    <w:rsid w:val="00F3185E"/>
    <w:rsid w:val="00F329A6"/>
    <w:rsid w:val="00F334B6"/>
    <w:rsid w:val="00F339E2"/>
    <w:rsid w:val="00F34978"/>
    <w:rsid w:val="00F37261"/>
    <w:rsid w:val="00F427F0"/>
    <w:rsid w:val="00F46D99"/>
    <w:rsid w:val="00F54745"/>
    <w:rsid w:val="00F61851"/>
    <w:rsid w:val="00F637AB"/>
    <w:rsid w:val="00F775DB"/>
    <w:rsid w:val="00F818A3"/>
    <w:rsid w:val="00F85050"/>
    <w:rsid w:val="00F85CA0"/>
    <w:rsid w:val="00F902B0"/>
    <w:rsid w:val="00F929D0"/>
    <w:rsid w:val="00FA3BF6"/>
    <w:rsid w:val="00FC1E06"/>
    <w:rsid w:val="00FC35F1"/>
    <w:rsid w:val="00FD0E9B"/>
    <w:rsid w:val="00FD19DA"/>
    <w:rsid w:val="00FD66E7"/>
    <w:rsid w:val="00FD70CE"/>
    <w:rsid w:val="00FE262B"/>
    <w:rsid w:val="00FE40BA"/>
    <w:rsid w:val="00FE665D"/>
    <w:rsid w:val="00FF053F"/>
    <w:rsid w:val="00FF231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5C829"/>
  <w15:docId w15:val="{B7170F48-1E03-47CB-AE1B-909DA18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BE6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798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388"/>
    <w:pPr>
      <w:keepNext/>
      <w:keepLines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388"/>
    <w:pPr>
      <w:keepNext/>
      <w:keepLines/>
      <w:suppressAutoHyphens w:val="0"/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BDD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3C9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C9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C91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9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3C91"/>
  </w:style>
  <w:style w:type="character" w:customStyle="1" w:styleId="FooterChar">
    <w:name w:val="Footer Char"/>
    <w:basedOn w:val="DefaultParagraphFont"/>
    <w:link w:val="Footer"/>
    <w:uiPriority w:val="99"/>
    <w:rsid w:val="00483C91"/>
  </w:style>
  <w:style w:type="character" w:customStyle="1" w:styleId="FootnoteTextChar">
    <w:name w:val="Footnote Text Char"/>
    <w:basedOn w:val="DefaultParagraphFont"/>
    <w:link w:val="FootnoteText"/>
    <w:uiPriority w:val="99"/>
    <w:rsid w:val="00483C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C9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C9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83C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C9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3C91"/>
    <w:pPr>
      <w:tabs>
        <w:tab w:val="center" w:pos="4252"/>
        <w:tab w:val="right" w:pos="8504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83C91"/>
    <w:pPr>
      <w:tabs>
        <w:tab w:val="center" w:pos="4252"/>
        <w:tab w:val="right" w:pos="8504"/>
      </w:tabs>
      <w:spacing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483C91"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165BF"/>
    <w:pPr>
      <w:ind w:left="720"/>
      <w:contextualSpacing/>
    </w:pPr>
  </w:style>
  <w:style w:type="paragraph" w:customStyle="1" w:styleId="Footnote">
    <w:name w:val="Footnote"/>
    <w:basedOn w:val="Normal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2D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2D6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1798"/>
    <w:rPr>
      <w:rFonts w:ascii="Times New Roman" w:eastAsiaTheme="majorEastAsia" w:hAnsi="Times New Roman" w:cstheme="majorBidi"/>
      <w:b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44677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DE0BD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2388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388"/>
    <w:rPr>
      <w:rFonts w:ascii="Times New Roman" w:eastAsiaTheme="majorEastAsia" w:hAnsi="Times New Roman" w:cstheme="majorBidi"/>
      <w:sz w:val="24"/>
      <w:szCs w:val="24"/>
    </w:rPr>
  </w:style>
  <w:style w:type="paragraph" w:customStyle="1" w:styleId="Rodap">
    <w:name w:val="Rodapé"/>
    <w:basedOn w:val="Normal"/>
    <w:qFormat/>
    <w:rsid w:val="00681798"/>
    <w:pPr>
      <w:spacing w:line="240" w:lineRule="auto"/>
    </w:pPr>
    <w:rPr>
      <w:sz w:val="20"/>
    </w:rPr>
  </w:style>
  <w:style w:type="paragraph" w:styleId="NoSpacing">
    <w:name w:val="No Spacing"/>
    <w:uiPriority w:val="1"/>
    <w:qFormat/>
    <w:rsid w:val="00546E28"/>
    <w:pPr>
      <w:suppressAutoHyphens/>
      <w:spacing w:line="240" w:lineRule="auto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F6EBB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qFormat/>
    <w:rsid w:val="005F6EBB"/>
    <w:pPr>
      <w:suppressAutoHyphens w:val="0"/>
      <w:spacing w:line="259" w:lineRule="auto"/>
    </w:pPr>
    <w:rPr>
      <w:rFonts w:eastAsiaTheme="minorHAnsi"/>
      <w:szCs w:val="24"/>
    </w:rPr>
  </w:style>
  <w:style w:type="character" w:customStyle="1" w:styleId="texhtml">
    <w:name w:val="texhtml"/>
    <w:basedOn w:val="DefaultParagraphFont"/>
    <w:rsid w:val="001C7CB0"/>
  </w:style>
  <w:style w:type="character" w:styleId="HTMLCode">
    <w:name w:val="HTML Code"/>
    <w:basedOn w:val="DefaultParagraphFont"/>
    <w:uiPriority w:val="99"/>
    <w:semiHidden/>
    <w:unhideWhenUsed/>
    <w:rsid w:val="001C7CB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1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E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7550-B740-4B4B-B015-962828BB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16196</TotalTime>
  <Pages>5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cloud</cp:lastModifiedBy>
  <cp:revision>232</cp:revision>
  <cp:lastPrinted>2016-12-29T08:47:00Z</cp:lastPrinted>
  <dcterms:created xsi:type="dcterms:W3CDTF">2014-03-19T13:36:00Z</dcterms:created>
  <dcterms:modified xsi:type="dcterms:W3CDTF">2017-09-19T03:59:00Z</dcterms:modified>
  <dc:language>en-US</dc:language>
</cp:coreProperties>
</file>